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4D863" w14:textId="77777777" w:rsidR="00976998" w:rsidRPr="009F4FB2" w:rsidRDefault="00976998" w:rsidP="009F4FB2">
      <w:pPr>
        <w:tabs>
          <w:tab w:val="left" w:pos="4860"/>
        </w:tabs>
        <w:rPr>
          <w:rFonts w:eastAsia="Calibri" w:cs="Calibri"/>
          <w:b/>
          <w:bCs/>
          <w:color w:val="0B2265"/>
          <w:u w:val="single" w:color="000000"/>
        </w:rPr>
      </w:pPr>
      <w:r w:rsidRPr="009F4FB2">
        <w:rPr>
          <w:noProof/>
        </w:rPr>
        <mc:AlternateContent>
          <mc:Choice Requires="wps">
            <w:drawing>
              <wp:inline distT="0" distB="0" distL="0" distR="0" wp14:anchorId="369086D6" wp14:editId="619195D5">
                <wp:extent cx="6276975" cy="923925"/>
                <wp:effectExtent l="0" t="0" r="9525" b="952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923925"/>
                        </a:xfrm>
                        <a:prstGeom prst="rect">
                          <a:avLst/>
                        </a:prstGeom>
                        <a:solidFill>
                          <a:srgbClr val="0B2265">
                            <a:alpha val="74902"/>
                          </a:srgbClr>
                        </a:solidFill>
                        <a:ln w="9525">
                          <a:noFill/>
                          <a:miter lim="800000"/>
                          <a:headEnd/>
                          <a:tailEnd/>
                        </a:ln>
                      </wps:spPr>
                      <wps:txbx>
                        <w:txbxContent>
                          <w:p w14:paraId="2A04B4FE" w14:textId="77777777" w:rsidR="00976998" w:rsidRDefault="00D84005">
                            <w:r>
                              <w:t xml:space="preserve">Under </w:t>
                            </w:r>
                            <w:hyperlink r:id="rId7" w:history="1">
                              <w:r w:rsidRPr="00A12522">
                                <w:rPr>
                                  <w:rStyle w:val="Hyperlink"/>
                                  <w:color w:val="95B3D7" w:themeColor="accent1" w:themeTint="99"/>
                                </w:rPr>
                                <w:t>Executive Order 13750</w:t>
                              </w:r>
                            </w:hyperlink>
                            <w:r>
                              <w:t xml:space="preserve">, students who successfully completed the Benjamin A. Gilman International Scholarship Program (as well as the Critical Language Scholarship and Fulbright U.S. Student Program) are eligible for 12 months of noncompetitive eligibility (NCE) hiring status within the federal government, with the possibility of extensions if certain criteria are met. </w:t>
                            </w:r>
                          </w:p>
                        </w:txbxContent>
                      </wps:txbx>
                      <wps:bodyPr rot="0" vert="horz" wrap="square" lIns="91440" tIns="45720" rIns="91440" bIns="45720" anchor="t" anchorCtr="0" upright="1">
                        <a:noAutofit/>
                      </wps:bodyPr>
                    </wps:wsp>
                  </a:graphicData>
                </a:graphic>
              </wp:inline>
            </w:drawing>
          </mc:Choice>
          <mc:Fallback>
            <w:pict>
              <v:shapetype w14:anchorId="369086D6" id="_x0000_t202" coordsize="21600,21600" o:spt="202" path="m,l,21600r21600,l21600,xe">
                <v:stroke joinstyle="miter"/>
                <v:path gradientshapeok="t" o:connecttype="rect"/>
              </v:shapetype>
              <v:shape id="Text Box 3" o:spid="_x0000_s1026" type="#_x0000_t202" style="width:494.2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" fillcolor="#0b2265" stroked="f">
                <v:fill opacity="49087f"/>
                <v:textbox>
                  <w:txbxContent>
                    <w:p w14:paraId="2A04B4FE" w14:textId="77777777" w:rsidR="00976998" w:rsidRDefault="00D84005">
                      <w:r>
                        <w:t xml:space="preserve">Under </w:t>
                      </w:r>
                      <w:hyperlink r:id="rId8" w:history="1">
                        <w:r w:rsidRPr="00A12522">
                          <w:rPr>
                            <w:rStyle w:val="Hyperlink"/>
                            <w:color w:val="95B3D7" w:themeColor="accent1" w:themeTint="99"/>
                          </w:rPr>
                          <w:t>Executive Order 13750</w:t>
                        </w:r>
                      </w:hyperlink>
                      <w:r>
                        <w:t xml:space="preserve">, students who successfully completed the Benjamin A. Gilman International Scholarship Program (as well as the Critical Language Scholarship and Fulbright U.S. Student Program) are eligible for 12 months of noncompetitive eligibility (NCE) hiring status within the federal government, with the possibility of extensions if certain criteria are met. </w:t>
                      </w:r>
                    </w:p>
                  </w:txbxContent>
                </v:textbox>
                <w10:anchorlock/>
              </v:shape>
            </w:pict>
          </mc:Fallback>
        </mc:AlternateContent>
      </w:r>
    </w:p>
    <w:p w14:paraId="7C5E41F3" w14:textId="77777777" w:rsidR="005D6EAA" w:rsidRPr="005C55A3" w:rsidRDefault="00D84005" w:rsidP="005C55A3">
      <w:pPr>
        <w:spacing w:after="0" w:line="240" w:lineRule="auto"/>
        <w:ind w:right="-20"/>
        <w:rPr>
          <w:rFonts w:eastAsia="Calibri" w:cs="Calibri"/>
          <w:b/>
          <w:bCs/>
          <w:spacing w:val="1"/>
          <w:u w:val="single" w:color="000000"/>
        </w:rPr>
      </w:pPr>
      <w:r w:rsidRPr="005C55A3">
        <w:rPr>
          <w:rFonts w:eastAsia="Calibri" w:cs="Calibri"/>
          <w:b/>
          <w:bCs/>
          <w:spacing w:val="1"/>
          <w:u w:color="000000"/>
        </w:rPr>
        <w:t xml:space="preserve">What is Noncompetitive Eligibility (NCE)? </w:t>
      </w:r>
    </w:p>
    <w:p w14:paraId="47150E5F" w14:textId="611D6798" w:rsidR="00A12522" w:rsidRDefault="00A12522" w:rsidP="00A12522">
      <w:pPr>
        <w:spacing w:after="0" w:line="240" w:lineRule="auto"/>
        <w:ind w:right="-20"/>
      </w:pPr>
      <w:r w:rsidRPr="001160A3">
        <w:rPr>
          <w:rFonts w:cs="Arial"/>
          <w:shd w:val="clear" w:color="auto" w:fill="FFFFFF"/>
        </w:rPr>
        <w:t>NCE allows U.S. federal government agencies to hire eligible exchange program alumni outside of the formal competitive job announcement process and to compete for certain federal employment jobs that are only open to federal employees.</w:t>
      </w:r>
      <w:r w:rsidR="001160A3" w:rsidRPr="001160A3">
        <w:rPr>
          <w:rFonts w:cs="Arial"/>
          <w:shd w:val="clear" w:color="auto" w:fill="FFFFFF"/>
        </w:rPr>
        <w:t xml:space="preserve"> </w:t>
      </w:r>
      <w:r w:rsidRPr="001160A3">
        <w:t xml:space="preserve">In other words, </w:t>
      </w:r>
      <w:r w:rsidR="001160A3" w:rsidRPr="001160A3">
        <w:t xml:space="preserve">a Gilman alumna/us can receive a job offer with </w:t>
      </w:r>
      <w:r w:rsidR="00250A89">
        <w:t>as little as an</w:t>
      </w:r>
      <w:r w:rsidRPr="001160A3">
        <w:t xml:space="preserve"> open position and </w:t>
      </w:r>
      <w:r w:rsidR="00250A89">
        <w:t>a</w:t>
      </w:r>
      <w:r w:rsidRPr="001160A3">
        <w:t xml:space="preserve"> résumé that reflects the necessary experience and education for an agency. Broadly advertising the position, interviewing candidates, and other</w:t>
      </w:r>
      <w:r w:rsidRPr="001160A3">
        <w:rPr>
          <w:shd w:val="clear" w:color="auto" w:fill="F8F8F8"/>
        </w:rPr>
        <w:t xml:space="preserve"> </w:t>
      </w:r>
      <w:r w:rsidRPr="001160A3">
        <w:t>common hiring procedures are NOT required for an agency to hire an applicant with NCE status—though they are often still used. Whether you are fast tracked without the formal hiring process or just compete against a limited NCE applica</w:t>
      </w:r>
      <w:r w:rsidR="00A725AE">
        <w:t>nt roster, being a Gilman alumna/us</w:t>
      </w:r>
      <w:r w:rsidRPr="001160A3">
        <w:t xml:space="preserve"> with NCE can help you make a quick transition from job seeker to federal employee when selected for a position.</w:t>
      </w:r>
    </w:p>
    <w:p w14:paraId="0DD53F89" w14:textId="77777777" w:rsidR="005C55A3" w:rsidRPr="00A725AE" w:rsidRDefault="005C55A3" w:rsidP="00A12522">
      <w:pPr>
        <w:spacing w:after="0" w:line="240" w:lineRule="auto"/>
        <w:ind w:right="-20"/>
        <w:rPr>
          <w:rFonts w:cs="Arial"/>
          <w:sz w:val="20"/>
          <w:szCs w:val="20"/>
          <w:shd w:val="clear" w:color="auto" w:fill="FFFFFF"/>
        </w:rPr>
      </w:pPr>
    </w:p>
    <w:p w14:paraId="48F32942" w14:textId="77777777" w:rsidR="00D84005" w:rsidRPr="005C55A3" w:rsidRDefault="00D84005" w:rsidP="005C55A3">
      <w:pPr>
        <w:spacing w:after="0" w:line="240" w:lineRule="auto"/>
        <w:ind w:right="-20"/>
        <w:rPr>
          <w:rFonts w:eastAsia="Calibri" w:cs="Calibri"/>
          <w:b/>
          <w:bCs/>
          <w:spacing w:val="1"/>
          <w:u w:val="single" w:color="000000"/>
        </w:rPr>
      </w:pPr>
      <w:r w:rsidRPr="005C55A3">
        <w:rPr>
          <w:rFonts w:eastAsia="Calibri" w:cs="Calibri"/>
          <w:b/>
          <w:bCs/>
          <w:spacing w:val="1"/>
          <w:u w:color="000000"/>
        </w:rPr>
        <w:t>Does applying through NCE guarantee federal employment?</w:t>
      </w:r>
    </w:p>
    <w:p w14:paraId="3382B58C" w14:textId="77777777" w:rsidR="005C55A3" w:rsidRPr="005C55A3" w:rsidRDefault="005C55A3" w:rsidP="005C55A3">
      <w:pPr>
        <w:spacing w:after="0" w:line="240" w:lineRule="auto"/>
        <w:ind w:right="-20"/>
        <w:rPr>
          <w:rFonts w:eastAsia="Calibri" w:cs="Calibri"/>
          <w:b/>
          <w:bCs/>
          <w:spacing w:val="1"/>
          <w:u w:val="single" w:color="000000"/>
        </w:rPr>
      </w:pPr>
      <w:r w:rsidRPr="005C55A3">
        <w:rPr>
          <w:rFonts w:cs="Arial"/>
          <w:shd w:val="clear" w:color="auto" w:fill="FFFFFF"/>
        </w:rPr>
        <w:t xml:space="preserve">No, noncompetitive eligibility does not entitle an applicant to a job with the federal government. The applicant </w:t>
      </w:r>
      <w:bookmarkStart w:id="0" w:name="_GoBack"/>
      <w:bookmarkEnd w:id="0"/>
      <w:r w:rsidRPr="005C55A3">
        <w:rPr>
          <w:rFonts w:cs="Arial"/>
          <w:shd w:val="clear" w:color="auto" w:fill="FFFFFF"/>
        </w:rPr>
        <w:t>must meet qualifications standards and additional requirements for the job, such as a background investigation. The decision to hire eligible candidates is at the discretion of the hiring agency.</w:t>
      </w:r>
    </w:p>
    <w:p w14:paraId="387B9D44" w14:textId="77777777" w:rsidR="005C55A3" w:rsidRPr="00A725AE" w:rsidRDefault="005C55A3" w:rsidP="005C55A3">
      <w:pPr>
        <w:spacing w:after="0" w:line="240" w:lineRule="auto"/>
        <w:ind w:right="-20"/>
        <w:rPr>
          <w:rFonts w:eastAsia="Calibri" w:cs="Calibri"/>
          <w:b/>
          <w:bCs/>
          <w:spacing w:val="1"/>
          <w:sz w:val="20"/>
          <w:szCs w:val="20"/>
          <w:u w:color="000000"/>
        </w:rPr>
      </w:pPr>
    </w:p>
    <w:p w14:paraId="794D18A2" w14:textId="29DDCD2F" w:rsidR="00D84005" w:rsidRDefault="00D84005" w:rsidP="005C55A3">
      <w:pPr>
        <w:spacing w:after="0" w:line="240" w:lineRule="auto"/>
        <w:ind w:right="-20"/>
        <w:rPr>
          <w:rFonts w:eastAsia="Calibri" w:cs="Calibri"/>
          <w:b/>
          <w:bCs/>
          <w:spacing w:val="1"/>
          <w:u w:color="000000"/>
        </w:rPr>
      </w:pPr>
      <w:r w:rsidRPr="005C55A3">
        <w:rPr>
          <w:rFonts w:eastAsia="Calibri" w:cs="Calibri"/>
          <w:b/>
          <w:bCs/>
          <w:spacing w:val="1"/>
          <w:u w:color="000000"/>
        </w:rPr>
        <w:t>How do I get my certification of completion of the Gilman Program?</w:t>
      </w:r>
    </w:p>
    <w:p w14:paraId="1DB70460" w14:textId="2180A388" w:rsidR="005C55A3" w:rsidRPr="00EB6B99" w:rsidRDefault="00EB6B99" w:rsidP="00EB6B99">
      <w:pPr>
        <w:spacing w:after="0" w:line="240" w:lineRule="auto"/>
        <w:ind w:right="-20"/>
        <w:rPr>
          <w:rFonts w:eastAsia="Calibri" w:cs="Calibri"/>
          <w:bCs/>
          <w:spacing w:val="1"/>
          <w:u w:color="000000"/>
        </w:rPr>
      </w:pPr>
      <w:r>
        <w:rPr>
          <w:rFonts w:eastAsia="Calibri" w:cs="Calibri"/>
          <w:bCs/>
          <w:spacing w:val="1"/>
          <w:u w:color="000000"/>
        </w:rPr>
        <w:t xml:space="preserve">You can request a Certificate of Achievement from the Gilman Scholarship Program by logging in to your Gilman online portal account at </w:t>
      </w:r>
      <w:hyperlink r:id="rId9" w:history="1">
        <w:r w:rsidRPr="009057C4">
          <w:rPr>
            <w:rStyle w:val="Hyperlink"/>
            <w:rFonts w:eastAsia="Calibri" w:cs="Calibri"/>
            <w:bCs/>
            <w:spacing w:val="1"/>
            <w:u w:color="000000"/>
          </w:rPr>
          <w:t>https://gilmanapplication.iie.org/</w:t>
        </w:r>
      </w:hyperlink>
      <w:r>
        <w:rPr>
          <w:rFonts w:eastAsia="Calibri" w:cs="Calibri"/>
          <w:bCs/>
          <w:spacing w:val="1"/>
          <w:u w:color="000000"/>
        </w:rPr>
        <w:t xml:space="preserve">. Click on the “Certificate Request” tab and select “Request Certificate of Achievement.” In order to receive this certification, your study abroad advisor must certify that you have completed your program abroad. If your advisor has not yet certified that you have completed your program, you will be prompted to select an advisor to send a reminder email to complete this step.  You are also encouraged to follow up with your advisor directly.  Once the certification is complete, you will be able to download this certificate directly from your online portal. </w:t>
      </w:r>
    </w:p>
    <w:p w14:paraId="112FA4BB" w14:textId="77777777" w:rsidR="005C55A3" w:rsidRPr="00A725AE" w:rsidRDefault="005C55A3" w:rsidP="005C55A3">
      <w:pPr>
        <w:pStyle w:val="ListParagraph"/>
        <w:spacing w:after="0" w:line="240" w:lineRule="auto"/>
        <w:ind w:right="-20"/>
        <w:rPr>
          <w:rFonts w:eastAsia="Calibri" w:cs="Calibri"/>
          <w:b/>
          <w:bCs/>
          <w:spacing w:val="1"/>
          <w:sz w:val="20"/>
          <w:szCs w:val="20"/>
          <w:u w:val="single" w:color="000000"/>
        </w:rPr>
      </w:pPr>
    </w:p>
    <w:p w14:paraId="6BCF42D8" w14:textId="77777777" w:rsidR="00D84005" w:rsidRPr="005C55A3" w:rsidRDefault="00D84005" w:rsidP="005C55A3">
      <w:pPr>
        <w:spacing w:after="0" w:line="240" w:lineRule="auto"/>
        <w:ind w:right="-20"/>
        <w:rPr>
          <w:rFonts w:eastAsia="Calibri" w:cs="Calibri"/>
          <w:b/>
          <w:bCs/>
          <w:spacing w:val="1"/>
          <w:u w:val="single" w:color="000000"/>
        </w:rPr>
      </w:pPr>
      <w:r w:rsidRPr="005C55A3">
        <w:rPr>
          <w:rFonts w:eastAsia="Calibri" w:cs="Calibri"/>
          <w:b/>
          <w:bCs/>
          <w:spacing w:val="1"/>
          <w:u w:color="000000"/>
        </w:rPr>
        <w:t>How can I extend my period of eligibility?</w:t>
      </w:r>
    </w:p>
    <w:p w14:paraId="0944390E" w14:textId="5F0E5399" w:rsidR="005C55A3" w:rsidRPr="00EB6B99" w:rsidRDefault="005C55A3" w:rsidP="005C55A3">
      <w:pPr>
        <w:widowControl/>
        <w:shd w:val="clear" w:color="auto" w:fill="FFFFFF"/>
        <w:spacing w:after="0" w:line="240" w:lineRule="auto"/>
        <w:rPr>
          <w:rFonts w:eastAsia="Times New Roman" w:cs="Arial"/>
          <w:color w:val="353535"/>
        </w:rPr>
      </w:pPr>
      <w:r w:rsidRPr="00EB6B99">
        <w:rPr>
          <w:rFonts w:eastAsia="Times New Roman" w:cs="Arial"/>
          <w:color w:val="353535"/>
        </w:rPr>
        <w:t>Federal agencies may extend the period of eligibility for up to two additional years, or a total duration of up to three years in all, if, after your completed program, you:</w:t>
      </w:r>
    </w:p>
    <w:p w14:paraId="194D86CF" w14:textId="77777777" w:rsidR="005C55A3" w:rsidRPr="00EB6B99" w:rsidRDefault="005C55A3" w:rsidP="005C55A3">
      <w:pPr>
        <w:pStyle w:val="ListParagraph"/>
        <w:widowControl/>
        <w:numPr>
          <w:ilvl w:val="1"/>
          <w:numId w:val="7"/>
        </w:numPr>
        <w:shd w:val="clear" w:color="auto" w:fill="FFFFFF"/>
        <w:spacing w:after="0" w:line="240" w:lineRule="auto"/>
        <w:rPr>
          <w:rFonts w:eastAsia="Times New Roman" w:cs="Arial"/>
          <w:color w:val="353535"/>
        </w:rPr>
      </w:pPr>
      <w:r w:rsidRPr="00EB6B99">
        <w:rPr>
          <w:rFonts w:eastAsia="Times New Roman" w:cs="Arial"/>
          <w:color w:val="353535"/>
        </w:rPr>
        <w:t>Served in the military.</w:t>
      </w:r>
    </w:p>
    <w:p w14:paraId="4E3979EE" w14:textId="77777777" w:rsidR="005C55A3" w:rsidRPr="00EB6B99" w:rsidRDefault="005C55A3" w:rsidP="005C55A3">
      <w:pPr>
        <w:pStyle w:val="ListParagraph"/>
        <w:widowControl/>
        <w:numPr>
          <w:ilvl w:val="1"/>
          <w:numId w:val="7"/>
        </w:numPr>
        <w:shd w:val="clear" w:color="auto" w:fill="FFFFFF"/>
        <w:spacing w:after="0" w:line="240" w:lineRule="auto"/>
        <w:rPr>
          <w:rFonts w:eastAsia="Times New Roman" w:cs="Arial"/>
          <w:color w:val="353535"/>
        </w:rPr>
      </w:pPr>
      <w:r w:rsidRPr="00EB6B99">
        <w:rPr>
          <w:rFonts w:eastAsia="Times New Roman" w:cs="Arial"/>
          <w:color w:val="353535"/>
        </w:rPr>
        <w:t>Studied at a recognized institution of higher education.</w:t>
      </w:r>
    </w:p>
    <w:p w14:paraId="0E078B49" w14:textId="43AA0174" w:rsidR="005C55A3" w:rsidRDefault="005C55A3" w:rsidP="005C55A3">
      <w:pPr>
        <w:pStyle w:val="ListParagraph"/>
        <w:widowControl/>
        <w:numPr>
          <w:ilvl w:val="1"/>
          <w:numId w:val="7"/>
        </w:numPr>
        <w:shd w:val="clear" w:color="auto" w:fill="FFFFFF"/>
        <w:spacing w:after="0" w:line="240" w:lineRule="auto"/>
        <w:rPr>
          <w:rFonts w:eastAsia="Times New Roman" w:cs="Arial"/>
          <w:color w:val="353535"/>
        </w:rPr>
      </w:pPr>
      <w:r w:rsidRPr="00EB6B99">
        <w:rPr>
          <w:rFonts w:eastAsia="Times New Roman" w:cs="Arial"/>
          <w:color w:val="353535"/>
        </w:rPr>
        <w:t>Were involved in another activity, which in the agency’s view, warrants an extension.</w:t>
      </w:r>
    </w:p>
    <w:p w14:paraId="6C06960E" w14:textId="56F4D3D4" w:rsidR="00EB6B99" w:rsidRPr="00EB6B99" w:rsidRDefault="00EB6B99" w:rsidP="00EB6B99">
      <w:pPr>
        <w:widowControl/>
        <w:shd w:val="clear" w:color="auto" w:fill="FFFFFF"/>
        <w:spacing w:after="0" w:line="240" w:lineRule="auto"/>
        <w:rPr>
          <w:rFonts w:eastAsia="Times New Roman" w:cs="Arial"/>
          <w:color w:val="353535"/>
        </w:rPr>
      </w:pPr>
      <w:r>
        <w:rPr>
          <w:rFonts w:eastAsia="Times New Roman" w:cs="Arial"/>
          <w:color w:val="353535"/>
        </w:rPr>
        <w:t>All extension decisions are at the discretion of the hiring official, so if you have or intend to apply for a U.S. Government position, the Human Resources representative at that agency would be the one making the determination on whether or not to extend your NCE beyond the 12-month limit stated in the Executive Order.</w:t>
      </w:r>
    </w:p>
    <w:p w14:paraId="41B6E917" w14:textId="77777777" w:rsidR="00250A89" w:rsidRPr="00A725AE" w:rsidRDefault="00250A89" w:rsidP="00250A89">
      <w:pPr>
        <w:spacing w:after="0" w:line="240" w:lineRule="auto"/>
        <w:ind w:right="-20"/>
        <w:rPr>
          <w:rFonts w:eastAsia="Calibri" w:cs="Calibri"/>
          <w:b/>
          <w:bCs/>
          <w:spacing w:val="1"/>
          <w:sz w:val="20"/>
          <w:szCs w:val="20"/>
          <w:u w:color="000000"/>
        </w:rPr>
      </w:pPr>
    </w:p>
    <w:p w14:paraId="2118F2C5" w14:textId="77777777" w:rsidR="00D84005" w:rsidRPr="00250A89" w:rsidRDefault="00D84005" w:rsidP="00250A89">
      <w:pPr>
        <w:spacing w:after="0" w:line="240" w:lineRule="auto"/>
        <w:ind w:right="-20"/>
        <w:rPr>
          <w:rFonts w:eastAsia="Calibri" w:cs="Calibri"/>
          <w:b/>
          <w:bCs/>
          <w:spacing w:val="1"/>
          <w:u w:val="single" w:color="000000"/>
        </w:rPr>
      </w:pPr>
      <w:r w:rsidRPr="00250A89">
        <w:rPr>
          <w:rFonts w:eastAsia="Calibri" w:cs="Calibri"/>
          <w:b/>
          <w:bCs/>
          <w:spacing w:val="1"/>
          <w:u w:color="000000"/>
        </w:rPr>
        <w:t>How do I inform a federal agency that I am eligible for NCE?</w:t>
      </w:r>
    </w:p>
    <w:p w14:paraId="55263A1E" w14:textId="4C1A6772" w:rsidR="00A12522" w:rsidRDefault="005C55A3" w:rsidP="00D84005">
      <w:pPr>
        <w:spacing w:after="0" w:line="240" w:lineRule="auto"/>
        <w:ind w:right="-20"/>
        <w:rPr>
          <w:rFonts w:cs="Arial"/>
          <w:color w:val="353535"/>
          <w:shd w:val="clear" w:color="auto" w:fill="FFFFFF"/>
        </w:rPr>
      </w:pPr>
      <w:r w:rsidRPr="005C55A3">
        <w:rPr>
          <w:rFonts w:cs="Arial"/>
          <w:color w:val="353535"/>
          <w:shd w:val="clear" w:color="auto" w:fill="FFFFFF"/>
        </w:rPr>
        <w:t>To establish your noncompetitive status when applying for a federal job, you should include the certificate of achievement as proof of eligibility for NCE when requested or in the “required documents” area of the application.</w:t>
      </w:r>
    </w:p>
    <w:p w14:paraId="2BFF50AA" w14:textId="77777777" w:rsidR="00A725AE" w:rsidRDefault="00A725AE" w:rsidP="00D84005">
      <w:pPr>
        <w:spacing w:after="0" w:line="240" w:lineRule="auto"/>
        <w:ind w:right="-20"/>
        <w:rPr>
          <w:rFonts w:cs="Arial"/>
          <w:color w:val="353535"/>
          <w:shd w:val="clear" w:color="auto" w:fill="FFFFFF"/>
        </w:rPr>
      </w:pPr>
    </w:p>
    <w:p w14:paraId="3C5477A2" w14:textId="559C25FA" w:rsidR="00A725AE" w:rsidRPr="005C55A3" w:rsidRDefault="00A725AE" w:rsidP="00A725AE">
      <w:pPr>
        <w:spacing w:after="0" w:line="240" w:lineRule="auto"/>
        <w:ind w:right="-20"/>
        <w:jc w:val="center"/>
        <w:rPr>
          <w:rFonts w:eastAsia="Calibri" w:cs="Calibri"/>
          <w:b/>
          <w:bCs/>
          <w:spacing w:val="1"/>
          <w:u w:val="single" w:color="000000"/>
        </w:rPr>
      </w:pPr>
      <w:r>
        <w:rPr>
          <w:rFonts w:cs="Arial"/>
          <w:color w:val="353535"/>
          <w:shd w:val="clear" w:color="auto" w:fill="FFFFFF"/>
        </w:rPr>
        <w:t xml:space="preserve">Please contact </w:t>
      </w:r>
      <w:hyperlink r:id="rId10" w:history="1">
        <w:r>
          <w:rPr>
            <w:rStyle w:val="Hyperlink"/>
            <w:rFonts w:ascii="Calibri" w:hAnsi="Calibri"/>
          </w:rPr>
          <w:t>ExchangeNCE@state.gov</w:t>
        </w:r>
      </w:hyperlink>
      <w:r>
        <w:rPr>
          <w:rFonts w:ascii="Calibri" w:hAnsi="Calibri"/>
          <w:color w:val="1F497D"/>
        </w:rPr>
        <w:t xml:space="preserve"> </w:t>
      </w:r>
      <w:r w:rsidRPr="00A725AE">
        <w:rPr>
          <w:rFonts w:ascii="Calibri" w:hAnsi="Calibri"/>
        </w:rPr>
        <w:t xml:space="preserve">if you have </w:t>
      </w:r>
      <w:r>
        <w:rPr>
          <w:rFonts w:ascii="Calibri" w:hAnsi="Calibri"/>
        </w:rPr>
        <w:t>further</w:t>
      </w:r>
      <w:r w:rsidRPr="00A725AE">
        <w:rPr>
          <w:rFonts w:ascii="Calibri" w:hAnsi="Calibri"/>
        </w:rPr>
        <w:t xml:space="preserve"> questions.</w:t>
      </w:r>
    </w:p>
    <w:sectPr w:rsidR="00A725AE" w:rsidRPr="005C55A3" w:rsidSect="00A725AE">
      <w:headerReference w:type="default" r:id="rId11"/>
      <w:footerReference w:type="default" r:id="rId12"/>
      <w:type w:val="continuous"/>
      <w:pgSz w:w="12240" w:h="15840"/>
      <w:pgMar w:top="1080" w:right="1080" w:bottom="1080" w:left="1080" w:header="720" w:footer="432"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410270" w16cid:durableId="1E6E2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512BA" w14:textId="77777777" w:rsidR="002B4542" w:rsidRDefault="002B4542" w:rsidP="000524DF">
      <w:pPr>
        <w:spacing w:after="0" w:line="240" w:lineRule="auto"/>
      </w:pPr>
      <w:r>
        <w:separator/>
      </w:r>
    </w:p>
  </w:endnote>
  <w:endnote w:type="continuationSeparator" w:id="0">
    <w:p w14:paraId="40FA19B2" w14:textId="77777777" w:rsidR="002B4542" w:rsidRDefault="002B4542" w:rsidP="00052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19FEA" w14:textId="7F5D6A36" w:rsidR="00EB4DA1" w:rsidRDefault="00717277">
    <w:pPr>
      <w:pStyle w:val="Footer"/>
    </w:pPr>
    <w:r>
      <w:rPr>
        <w:noProof/>
      </w:rPr>
      <mc:AlternateContent>
        <mc:Choice Requires="wps">
          <w:drawing>
            <wp:anchor distT="0" distB="0" distL="114300" distR="114300" simplePos="0" relativeHeight="251659264" behindDoc="0" locked="0" layoutInCell="1" allowOverlap="1" wp14:anchorId="4DF67218" wp14:editId="2AE4F55C">
              <wp:simplePos x="0" y="0"/>
              <wp:positionH relativeFrom="column">
                <wp:posOffset>925830</wp:posOffset>
              </wp:positionH>
              <wp:positionV relativeFrom="paragraph">
                <wp:posOffset>-126365</wp:posOffset>
              </wp:positionV>
              <wp:extent cx="5981700" cy="514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14350"/>
                      </a:xfrm>
                      <a:prstGeom prst="rect">
                        <a:avLst/>
                      </a:prstGeom>
                      <a:solidFill>
                        <a:srgbClr val="FFFFFF"/>
                      </a:solidFill>
                      <a:ln w="9525">
                        <a:noFill/>
                        <a:miter lim="800000"/>
                        <a:headEnd/>
                        <a:tailEnd/>
                      </a:ln>
                    </wps:spPr>
                    <wps:txbx>
                      <w:txbxContent>
                        <w:p w14:paraId="6B2451AA" w14:textId="688B9C02" w:rsidR="00717277" w:rsidRPr="00942730" w:rsidRDefault="00717277" w:rsidP="00717277">
                          <w:pPr>
                            <w:pStyle w:val="Footer"/>
                            <w:rPr>
                              <w:sz w:val="24"/>
                              <w:szCs w:val="24"/>
                            </w:rPr>
                          </w:pPr>
                          <w:r w:rsidRPr="00717277">
                            <w:rPr>
                              <w:sz w:val="18"/>
                              <w:szCs w:val="18"/>
                            </w:rPr>
                            <w:t>The Benjamin A. Gilman International Scholarship is a program of the U.S. Depart</w:t>
                          </w:r>
                          <w:r w:rsidR="00A725AE">
                            <w:rPr>
                              <w:sz w:val="18"/>
                              <w:szCs w:val="18"/>
                            </w:rPr>
                            <w:t xml:space="preserve">ment of State, supported in its </w:t>
                          </w:r>
                          <w:r w:rsidRPr="00717277">
                            <w:rPr>
                              <w:sz w:val="18"/>
                              <w:szCs w:val="18"/>
                            </w:rPr>
                            <w:t xml:space="preserve">implementation by the Institute </w:t>
                          </w:r>
                          <w:r w:rsidR="00D66A8D">
                            <w:rPr>
                              <w:sz w:val="18"/>
                              <w:szCs w:val="18"/>
                            </w:rPr>
                            <w:t>of International Education</w:t>
                          </w:r>
                          <w:r w:rsidRPr="00717277">
                            <w:rPr>
                              <w:sz w:val="18"/>
                              <w:szCs w:val="18"/>
                            </w:rPr>
                            <w:t>.</w:t>
                          </w:r>
                          <w:r w:rsidRPr="00942730">
                            <w:rPr>
                              <w:sz w:val="24"/>
                              <w:szCs w:val="24"/>
                            </w:rPr>
                            <w:t xml:space="preserve"> </w:t>
                          </w:r>
                        </w:p>
                        <w:p w14:paraId="6B5DE6E2" w14:textId="77777777" w:rsidR="00717277" w:rsidRDefault="00717277" w:rsidP="00717277">
                          <w:pPr>
                            <w:pStyle w:val="Footer"/>
                          </w:pPr>
                        </w:p>
                        <w:p w14:paraId="0C6F5D52" w14:textId="77777777" w:rsidR="00717277" w:rsidRDefault="00717277" w:rsidP="007172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F67218" id="_x0000_t202" coordsize="21600,21600" o:spt="202" path="m,l,21600r21600,l21600,xe">
              <v:stroke joinstyle="miter"/>
              <v:path gradientshapeok="t" o:connecttype="rect"/>
            </v:shapetype>
            <v:shape id="_x0000_s1028" type="#_x0000_t202" style="position:absolute;margin-left:72.9pt;margin-top:-9.95pt;width:471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" stroked="f">
              <v:textbox>
                <w:txbxContent>
                  <w:p w14:paraId="6B2451AA" w14:textId="688B9C02" w:rsidR="00717277" w:rsidRPr="00942730" w:rsidRDefault="00717277" w:rsidP="00717277">
                    <w:pPr>
                      <w:pStyle w:val="Footer"/>
                      <w:rPr>
                        <w:sz w:val="24"/>
                        <w:szCs w:val="24"/>
                      </w:rPr>
                    </w:pPr>
                    <w:r w:rsidRPr="00717277">
                      <w:rPr>
                        <w:sz w:val="18"/>
                        <w:szCs w:val="18"/>
                      </w:rPr>
                      <w:t>The Benjamin A. Gilman International Scholarship is a program of the U.S. Depart</w:t>
                    </w:r>
                    <w:r w:rsidR="00A725AE">
                      <w:rPr>
                        <w:sz w:val="18"/>
                        <w:szCs w:val="18"/>
                      </w:rPr>
                      <w:t xml:space="preserve">ment of State, supported in its </w:t>
                    </w:r>
                    <w:r w:rsidRPr="00717277">
                      <w:rPr>
                        <w:sz w:val="18"/>
                        <w:szCs w:val="18"/>
                      </w:rPr>
                      <w:t xml:space="preserve">implementation by the Institute </w:t>
                    </w:r>
                    <w:r w:rsidR="00D66A8D">
                      <w:rPr>
                        <w:sz w:val="18"/>
                        <w:szCs w:val="18"/>
                      </w:rPr>
                      <w:t>of International Education</w:t>
                    </w:r>
                    <w:r w:rsidRPr="00717277">
                      <w:rPr>
                        <w:sz w:val="18"/>
                        <w:szCs w:val="18"/>
                      </w:rPr>
                      <w:t>.</w:t>
                    </w:r>
                    <w:r w:rsidRPr="00942730">
                      <w:rPr>
                        <w:sz w:val="24"/>
                        <w:szCs w:val="24"/>
                      </w:rPr>
                      <w:t xml:space="preserve"> </w:t>
                    </w:r>
                  </w:p>
                  <w:p w14:paraId="6B5DE6E2" w14:textId="77777777" w:rsidR="00717277" w:rsidRDefault="00717277" w:rsidP="00717277">
                    <w:pPr>
                      <w:pStyle w:val="Footer"/>
                    </w:pPr>
                  </w:p>
                  <w:p w14:paraId="0C6F5D52" w14:textId="77777777" w:rsidR="00717277" w:rsidRDefault="00717277" w:rsidP="00717277"/>
                </w:txbxContent>
              </v:textbox>
            </v:shape>
          </w:pict>
        </mc:Fallback>
      </mc:AlternateContent>
    </w:r>
    <w:r>
      <w:rPr>
        <w:noProof/>
      </w:rPr>
      <w:drawing>
        <wp:anchor distT="0" distB="0" distL="114300" distR="114300" simplePos="0" relativeHeight="251661312" behindDoc="1" locked="0" layoutInCell="1" allowOverlap="1" wp14:anchorId="1A1B2FD2" wp14:editId="20063AA6">
          <wp:simplePos x="0" y="0"/>
          <wp:positionH relativeFrom="margin">
            <wp:align>left</wp:align>
          </wp:positionH>
          <wp:positionV relativeFrom="paragraph">
            <wp:posOffset>-161925</wp:posOffset>
          </wp:positionV>
          <wp:extent cx="979805" cy="443865"/>
          <wp:effectExtent l="0" t="0" r="0" b="0"/>
          <wp:wrapTight wrapText="bothSides">
            <wp:wrapPolygon edited="0">
              <wp:start x="0" y="0"/>
              <wp:lineTo x="0" y="20395"/>
              <wp:lineTo x="20998" y="20395"/>
              <wp:lineTo x="20998"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4965" t="11595"/>
                  <a:stretch/>
                </pic:blipFill>
                <pic:spPr bwMode="auto">
                  <a:xfrm>
                    <a:off x="0" y="0"/>
                    <a:ext cx="979805" cy="443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9FDD0" w14:textId="77777777" w:rsidR="002B4542" w:rsidRDefault="002B4542" w:rsidP="000524DF">
      <w:pPr>
        <w:spacing w:after="0" w:line="240" w:lineRule="auto"/>
      </w:pPr>
      <w:r>
        <w:separator/>
      </w:r>
    </w:p>
  </w:footnote>
  <w:footnote w:type="continuationSeparator" w:id="0">
    <w:p w14:paraId="3D906859" w14:textId="77777777" w:rsidR="002B4542" w:rsidRDefault="002B4542" w:rsidP="00052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8A81" w14:textId="0CC2D7E4" w:rsidR="005C40B8" w:rsidRDefault="00A725AE" w:rsidP="005C40B8">
    <w:pPr>
      <w:pStyle w:val="Header"/>
      <w:tabs>
        <w:tab w:val="left" w:pos="4590"/>
      </w:tabs>
      <w:ind w:left="4680"/>
      <w:rPr>
        <w:b/>
        <w:smallCaps/>
        <w:color w:val="0B2265"/>
        <w:sz w:val="40"/>
        <w:szCs w:val="40"/>
      </w:rPr>
    </w:pPr>
    <w:r>
      <w:rPr>
        <w:noProof/>
      </w:rPr>
      <w:drawing>
        <wp:anchor distT="0" distB="0" distL="114300" distR="114300" simplePos="0" relativeHeight="251665408" behindDoc="1" locked="0" layoutInCell="1" allowOverlap="1" wp14:anchorId="5CCCDD80" wp14:editId="3234DF22">
          <wp:simplePos x="0" y="0"/>
          <wp:positionH relativeFrom="column">
            <wp:posOffset>1476375</wp:posOffset>
          </wp:positionH>
          <wp:positionV relativeFrom="paragraph">
            <wp:posOffset>-177165</wp:posOffset>
          </wp:positionV>
          <wp:extent cx="1022350" cy="929640"/>
          <wp:effectExtent l="0" t="0" r="6350" b="3810"/>
          <wp:wrapTight wrapText="bothSides">
            <wp:wrapPolygon edited="0">
              <wp:start x="6037" y="0"/>
              <wp:lineTo x="3622" y="1328"/>
              <wp:lineTo x="0" y="5311"/>
              <wp:lineTo x="0" y="15934"/>
              <wp:lineTo x="4427" y="21246"/>
              <wp:lineTo x="6037" y="21246"/>
              <wp:lineTo x="21332" y="21246"/>
              <wp:lineTo x="21332" y="10180"/>
              <wp:lineTo x="19722" y="9295"/>
              <wp:lineTo x="10062" y="7082"/>
              <wp:lineTo x="19319" y="7082"/>
              <wp:lineTo x="19722" y="3541"/>
              <wp:lineTo x="13282" y="0"/>
              <wp:lineTo x="6037" y="0"/>
            </wp:wrapPolygon>
          </wp:wrapTight>
          <wp:docPr id="3" name="Picture 3" descr="C:\Users\shurley.IIE.ORG\AppData\Local\Microsoft\Windows\Temporary Internet FilesContent.Word\Gilman_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urley.IIE.ORG\AppData\Local\Microsoft\Windows\Temporary Internet FilesContent.Word\Gilman_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929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6998">
      <w:rPr>
        <w:noProof/>
      </w:rPr>
      <mc:AlternateContent>
        <mc:Choice Requires="wps">
          <w:drawing>
            <wp:anchor distT="0" distB="0" distL="114300" distR="114300" simplePos="0" relativeHeight="251664384" behindDoc="0" locked="0" layoutInCell="1" allowOverlap="1" wp14:anchorId="634731E0" wp14:editId="11D76AE4">
              <wp:simplePos x="0" y="0"/>
              <wp:positionH relativeFrom="margin">
                <wp:posOffset>2726055</wp:posOffset>
              </wp:positionH>
              <wp:positionV relativeFrom="paragraph">
                <wp:posOffset>-257175</wp:posOffset>
              </wp:positionV>
              <wp:extent cx="19050" cy="1200150"/>
              <wp:effectExtent l="19050" t="19050" r="19050" b="19050"/>
              <wp:wrapNone/>
              <wp:docPr id="12" name="Straight Connector 12"/>
              <wp:cNvGraphicFramePr/>
              <a:graphic xmlns:a="http://schemas.openxmlformats.org/drawingml/2006/main">
                <a:graphicData uri="http://schemas.microsoft.com/office/word/2010/wordprocessingShape">
                  <wps:wsp>
                    <wps:cNvCnPr/>
                    <wps:spPr>
                      <a:xfrm>
                        <a:off x="0" y="0"/>
                        <a:ext cx="19050" cy="1200150"/>
                      </a:xfrm>
                      <a:prstGeom prst="line">
                        <a:avLst/>
                      </a:prstGeom>
                      <a:ln w="28575">
                        <a:solidFill>
                          <a:srgbClr val="769A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A235B"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4.65pt,-20.25pt" to="216.1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" strokecolor="#769abc" strokeweight="2.25pt">
              <w10:wrap anchorx="margin"/>
            </v:line>
          </w:pict>
        </mc:Fallback>
      </mc:AlternateContent>
    </w:r>
    <w:r w:rsidR="00436C46" w:rsidRPr="00436C46">
      <w:rPr>
        <w:b/>
        <w:smallCaps/>
        <w:color w:val="0B2265"/>
        <w:sz w:val="40"/>
        <w:szCs w:val="40"/>
      </w:rPr>
      <w:t xml:space="preserve">Gilman </w:t>
    </w:r>
    <w:r w:rsidR="005C40B8">
      <w:rPr>
        <w:b/>
        <w:smallCaps/>
        <w:color w:val="0B2265"/>
        <w:sz w:val="40"/>
        <w:szCs w:val="40"/>
      </w:rPr>
      <w:t xml:space="preserve">Noncompetitive                                                                           </w:t>
    </w:r>
    <w:r w:rsidR="005C55A3">
      <w:rPr>
        <w:b/>
        <w:smallCaps/>
        <w:color w:val="0B2265"/>
        <w:sz w:val="40"/>
        <w:szCs w:val="40"/>
      </w:rPr>
      <w:t xml:space="preserve">  </w:t>
    </w:r>
    <w:r w:rsidR="005C40B8">
      <w:rPr>
        <w:b/>
        <w:smallCaps/>
        <w:color w:val="0B2265"/>
        <w:sz w:val="40"/>
        <w:szCs w:val="40"/>
      </w:rPr>
      <w:t xml:space="preserve">eligibility for federal </w:t>
    </w:r>
  </w:p>
  <w:p w14:paraId="4504887F" w14:textId="233970C9" w:rsidR="00D72730" w:rsidRPr="00A725AE" w:rsidRDefault="00A725AE" w:rsidP="00A725AE">
    <w:pPr>
      <w:pStyle w:val="Header"/>
      <w:tabs>
        <w:tab w:val="left" w:pos="4590"/>
      </w:tabs>
      <w:rPr>
        <w:sz w:val="40"/>
        <w:szCs w:val="40"/>
      </w:rPr>
    </w:pPr>
    <w:r>
      <w:rPr>
        <w:noProof/>
      </w:rPr>
      <mc:AlternateContent>
        <mc:Choice Requires="wps">
          <w:drawing>
            <wp:anchor distT="45720" distB="45720" distL="114300" distR="114300" simplePos="0" relativeHeight="251658239" behindDoc="0" locked="0" layoutInCell="1" allowOverlap="1" wp14:anchorId="33B19CCD" wp14:editId="5DE9B60A">
              <wp:simplePos x="0" y="0"/>
              <wp:positionH relativeFrom="column">
                <wp:posOffset>1259205</wp:posOffset>
              </wp:positionH>
              <wp:positionV relativeFrom="paragraph">
                <wp:posOffset>132080</wp:posOffset>
              </wp:positionV>
              <wp:extent cx="1485900" cy="257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7175"/>
                      </a:xfrm>
                      <a:prstGeom prst="rect">
                        <a:avLst/>
                      </a:prstGeom>
                      <a:solidFill>
                        <a:srgbClr val="FFFFFF"/>
                      </a:solidFill>
                      <a:ln w="9525">
                        <a:noFill/>
                        <a:miter lim="800000"/>
                        <a:headEnd/>
                        <a:tailEnd/>
                      </a:ln>
                    </wps:spPr>
                    <wps:txbx>
                      <w:txbxContent>
                        <w:p w14:paraId="10DA99CB" w14:textId="416CEA86" w:rsidR="00A725AE" w:rsidRPr="00A725AE" w:rsidRDefault="00A725AE">
                          <w:pPr>
                            <w:rPr>
                              <w:color w:val="002060"/>
                            </w:rPr>
                          </w:pPr>
                          <w:r w:rsidRPr="00A725AE">
                            <w:rPr>
                              <w:color w:val="002060"/>
                            </w:rPr>
                            <w:t>gilmanscholarship.org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B19CCD" id="_x0000_t202" coordsize="21600,21600" o:spt="202" path="m,l,21600r21600,l21600,xe">
              <v:stroke joinstyle="miter"/>
              <v:path gradientshapeok="t" o:connecttype="rect"/>
            </v:shapetype>
            <v:shape id="Text Box 2" o:spid="_x0000_s1027" type="#_x0000_t202" style="position:absolute;margin-left:99.15pt;margin-top:10.4pt;width:117pt;height:20.2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" stroked="f">
              <v:textbox>
                <w:txbxContent>
                  <w:p w14:paraId="10DA99CB" w14:textId="416CEA86" w:rsidR="00A725AE" w:rsidRPr="00A725AE" w:rsidRDefault="00A725AE">
                    <w:pPr>
                      <w:rPr>
                        <w:color w:val="002060"/>
                      </w:rPr>
                    </w:pPr>
                    <w:r w:rsidRPr="00A725AE">
                      <w:rPr>
                        <w:color w:val="002060"/>
                      </w:rPr>
                      <w:t>gilmanscholarship.org</w:t>
                    </w:r>
                  </w:p>
                </w:txbxContent>
              </v:textbox>
              <w10:wrap type="square"/>
            </v:shape>
          </w:pict>
        </mc:Fallback>
      </mc:AlternateContent>
    </w:r>
    <w:r w:rsidR="005C55A3">
      <w:rPr>
        <w:b/>
        <w:smallCaps/>
        <w:color w:val="0B2265"/>
        <w:sz w:val="40"/>
        <w:szCs w:val="40"/>
      </w:rPr>
      <w:t xml:space="preserve">  </w:t>
    </w:r>
    <w:r w:rsidR="005C55A3">
      <w:rPr>
        <w:b/>
        <w:smallCaps/>
        <w:color w:val="0B2265"/>
        <w:sz w:val="40"/>
        <w:szCs w:val="40"/>
      </w:rPr>
      <w:tab/>
      <w:t xml:space="preserve"> </w:t>
    </w:r>
    <w:r w:rsidR="005C40B8">
      <w:rPr>
        <w:b/>
        <w:smallCaps/>
        <w:color w:val="0B2265"/>
        <w:sz w:val="40"/>
        <w:szCs w:val="40"/>
      </w:rPr>
      <w:t xml:space="preserve">employment </w:t>
    </w:r>
    <w:r w:rsidR="00692AF9">
      <w:rPr>
        <w:b/>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A59"/>
    <w:multiLevelType w:val="hybridMultilevel"/>
    <w:tmpl w:val="E9BEB2BE"/>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172C2A5B"/>
    <w:multiLevelType w:val="hybridMultilevel"/>
    <w:tmpl w:val="4F0AA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7351FB"/>
    <w:multiLevelType w:val="multilevel"/>
    <w:tmpl w:val="89A2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728F6"/>
    <w:multiLevelType w:val="hybridMultilevel"/>
    <w:tmpl w:val="1C08A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C3F74"/>
    <w:multiLevelType w:val="multilevel"/>
    <w:tmpl w:val="F812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4E7CC0"/>
    <w:multiLevelType w:val="hybridMultilevel"/>
    <w:tmpl w:val="E2EAB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50A84"/>
    <w:multiLevelType w:val="hybridMultilevel"/>
    <w:tmpl w:val="1170743E"/>
    <w:lvl w:ilvl="0" w:tplc="04090009">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7" w15:restartNumberingAfterBreak="0">
    <w:nsid w:val="31B355C2"/>
    <w:multiLevelType w:val="hybridMultilevel"/>
    <w:tmpl w:val="5F083E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F008C2"/>
    <w:multiLevelType w:val="hybridMultilevel"/>
    <w:tmpl w:val="5E764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B40E7"/>
    <w:multiLevelType w:val="hybridMultilevel"/>
    <w:tmpl w:val="43A0B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353F8"/>
    <w:multiLevelType w:val="hybridMultilevel"/>
    <w:tmpl w:val="165072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DED69C6"/>
    <w:multiLevelType w:val="hybridMultilevel"/>
    <w:tmpl w:val="3954A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45F33"/>
    <w:multiLevelType w:val="hybridMultilevel"/>
    <w:tmpl w:val="F69C5DC8"/>
    <w:lvl w:ilvl="0" w:tplc="04090001">
      <w:start w:val="1"/>
      <w:numFmt w:val="bullet"/>
      <w:lvlText w:val=""/>
      <w:lvlJc w:val="left"/>
      <w:pPr>
        <w:ind w:left="820" w:hanging="360"/>
      </w:pPr>
      <w:rPr>
        <w:rFonts w:ascii="Symbol" w:hAnsi="Symbol" w:hint="default"/>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40C5769C"/>
    <w:multiLevelType w:val="hybridMultilevel"/>
    <w:tmpl w:val="30D60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434E7"/>
    <w:multiLevelType w:val="hybridMultilevel"/>
    <w:tmpl w:val="E402CD42"/>
    <w:lvl w:ilvl="0" w:tplc="7A46503E">
      <w:numFmt w:val="bullet"/>
      <w:lvlText w:val=""/>
      <w:lvlJc w:val="left"/>
      <w:pPr>
        <w:ind w:left="1180" w:hanging="360"/>
      </w:pPr>
      <w:rPr>
        <w:rFonts w:ascii="Symbol" w:eastAsia="Symbol" w:hAnsi="Symbol" w:cs="Symbol" w:hint="default"/>
        <w:sz w:val="20"/>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15:restartNumberingAfterBreak="0">
    <w:nsid w:val="4D1436C7"/>
    <w:multiLevelType w:val="hybridMultilevel"/>
    <w:tmpl w:val="7BC0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7E64CC"/>
    <w:multiLevelType w:val="hybridMultilevel"/>
    <w:tmpl w:val="4B9E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56DFB"/>
    <w:multiLevelType w:val="hybridMultilevel"/>
    <w:tmpl w:val="1A0C87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10148B"/>
    <w:multiLevelType w:val="hybridMultilevel"/>
    <w:tmpl w:val="EBE0B62C"/>
    <w:lvl w:ilvl="0" w:tplc="4C52493C">
      <w:start w:val="1"/>
      <w:numFmt w:val="bullet"/>
      <w:lvlText w:val=""/>
      <w:lvlJc w:val="left"/>
      <w:pPr>
        <w:ind w:left="820" w:hanging="360"/>
      </w:pPr>
      <w:rPr>
        <w:rFonts w:ascii="Wingdings" w:hAnsi="Wingdings" w:hint="default"/>
        <w:sz w:val="20"/>
        <w:szCs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65AD5916"/>
    <w:multiLevelType w:val="hybridMultilevel"/>
    <w:tmpl w:val="DA465E8E"/>
    <w:lvl w:ilvl="0" w:tplc="0409000F">
      <w:start w:val="1"/>
      <w:numFmt w:val="decimal"/>
      <w:lvlText w:val="%1."/>
      <w:lvlJc w:val="left"/>
      <w:pPr>
        <w:ind w:left="72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5A2ABB"/>
    <w:multiLevelType w:val="hybridMultilevel"/>
    <w:tmpl w:val="AF8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8601B9"/>
    <w:multiLevelType w:val="hybridMultilevel"/>
    <w:tmpl w:val="795C2386"/>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71F760AE"/>
    <w:multiLevelType w:val="hybridMultilevel"/>
    <w:tmpl w:val="D0305ED8"/>
    <w:lvl w:ilvl="0" w:tplc="D7F0C44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31621C"/>
    <w:multiLevelType w:val="hybridMultilevel"/>
    <w:tmpl w:val="229E9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B7785"/>
    <w:multiLevelType w:val="hybridMultilevel"/>
    <w:tmpl w:val="B2DE9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F1F9D"/>
    <w:multiLevelType w:val="hybridMultilevel"/>
    <w:tmpl w:val="06740064"/>
    <w:lvl w:ilvl="0" w:tplc="644E89A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4E5228"/>
    <w:multiLevelType w:val="hybridMultilevel"/>
    <w:tmpl w:val="0306405C"/>
    <w:lvl w:ilvl="0" w:tplc="04090009">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244E67"/>
    <w:multiLevelType w:val="hybridMultilevel"/>
    <w:tmpl w:val="F71EC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F663663"/>
    <w:multiLevelType w:val="hybridMultilevel"/>
    <w:tmpl w:val="463A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F540D9"/>
    <w:multiLevelType w:val="hybridMultilevel"/>
    <w:tmpl w:val="127436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19"/>
  </w:num>
  <w:num w:numId="3">
    <w:abstractNumId w:val="26"/>
  </w:num>
  <w:num w:numId="4">
    <w:abstractNumId w:val="6"/>
  </w:num>
  <w:num w:numId="5">
    <w:abstractNumId w:val="14"/>
  </w:num>
  <w:num w:numId="6">
    <w:abstractNumId w:val="18"/>
  </w:num>
  <w:num w:numId="7">
    <w:abstractNumId w:val="0"/>
  </w:num>
  <w:num w:numId="8">
    <w:abstractNumId w:val="21"/>
  </w:num>
  <w:num w:numId="9">
    <w:abstractNumId w:val="15"/>
  </w:num>
  <w:num w:numId="10">
    <w:abstractNumId w:val="5"/>
  </w:num>
  <w:num w:numId="11">
    <w:abstractNumId w:val="24"/>
  </w:num>
  <w:num w:numId="12">
    <w:abstractNumId w:val="20"/>
  </w:num>
  <w:num w:numId="13">
    <w:abstractNumId w:val="8"/>
  </w:num>
  <w:num w:numId="14">
    <w:abstractNumId w:val="16"/>
  </w:num>
  <w:num w:numId="15">
    <w:abstractNumId w:val="23"/>
  </w:num>
  <w:num w:numId="16">
    <w:abstractNumId w:val="9"/>
  </w:num>
  <w:num w:numId="17">
    <w:abstractNumId w:val="3"/>
  </w:num>
  <w:num w:numId="18">
    <w:abstractNumId w:val="13"/>
  </w:num>
  <w:num w:numId="19">
    <w:abstractNumId w:val="27"/>
  </w:num>
  <w:num w:numId="20">
    <w:abstractNumId w:val="17"/>
  </w:num>
  <w:num w:numId="21">
    <w:abstractNumId w:val="22"/>
  </w:num>
  <w:num w:numId="22">
    <w:abstractNumId w:val="12"/>
  </w:num>
  <w:num w:numId="23">
    <w:abstractNumId w:val="1"/>
  </w:num>
  <w:num w:numId="24">
    <w:abstractNumId w:val="11"/>
  </w:num>
  <w:num w:numId="25">
    <w:abstractNumId w:val="2"/>
  </w:num>
  <w:num w:numId="26">
    <w:abstractNumId w:val="10"/>
  </w:num>
  <w:num w:numId="27">
    <w:abstractNumId w:val="29"/>
  </w:num>
  <w:num w:numId="28">
    <w:abstractNumId w:val="28"/>
  </w:num>
  <w:num w:numId="29">
    <w:abstractNumId w:val="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88A"/>
    <w:rsid w:val="00047A9A"/>
    <w:rsid w:val="000524DF"/>
    <w:rsid w:val="000F2DC2"/>
    <w:rsid w:val="001160A3"/>
    <w:rsid w:val="00122DF5"/>
    <w:rsid w:val="00137B82"/>
    <w:rsid w:val="00153A0B"/>
    <w:rsid w:val="001974BE"/>
    <w:rsid w:val="001B2A48"/>
    <w:rsid w:val="001B3EC6"/>
    <w:rsid w:val="001C4A05"/>
    <w:rsid w:val="001D02D5"/>
    <w:rsid w:val="001D2730"/>
    <w:rsid w:val="0020457E"/>
    <w:rsid w:val="00250A89"/>
    <w:rsid w:val="00283DEF"/>
    <w:rsid w:val="00286EDA"/>
    <w:rsid w:val="00292CF1"/>
    <w:rsid w:val="0029318E"/>
    <w:rsid w:val="002B4542"/>
    <w:rsid w:val="002B7696"/>
    <w:rsid w:val="002D091E"/>
    <w:rsid w:val="002D2327"/>
    <w:rsid w:val="002F61CB"/>
    <w:rsid w:val="002F7E11"/>
    <w:rsid w:val="00306B58"/>
    <w:rsid w:val="00307FBB"/>
    <w:rsid w:val="003210D0"/>
    <w:rsid w:val="00360671"/>
    <w:rsid w:val="003E3ED4"/>
    <w:rsid w:val="004040B6"/>
    <w:rsid w:val="00436C46"/>
    <w:rsid w:val="004D1C54"/>
    <w:rsid w:val="004F26C1"/>
    <w:rsid w:val="004F4744"/>
    <w:rsid w:val="0057710E"/>
    <w:rsid w:val="005C40B8"/>
    <w:rsid w:val="005C55A3"/>
    <w:rsid w:val="005D6EAA"/>
    <w:rsid w:val="00692AF9"/>
    <w:rsid w:val="006C4987"/>
    <w:rsid w:val="00717277"/>
    <w:rsid w:val="00744813"/>
    <w:rsid w:val="007D0A05"/>
    <w:rsid w:val="007E4CB6"/>
    <w:rsid w:val="00882E32"/>
    <w:rsid w:val="00884D47"/>
    <w:rsid w:val="008A5669"/>
    <w:rsid w:val="008E44B6"/>
    <w:rsid w:val="008F7D75"/>
    <w:rsid w:val="00935F9D"/>
    <w:rsid w:val="00941BD0"/>
    <w:rsid w:val="00955593"/>
    <w:rsid w:val="00976998"/>
    <w:rsid w:val="009D237A"/>
    <w:rsid w:val="009E36AE"/>
    <w:rsid w:val="009F251D"/>
    <w:rsid w:val="009F4FB2"/>
    <w:rsid w:val="00A12522"/>
    <w:rsid w:val="00A156B9"/>
    <w:rsid w:val="00A53160"/>
    <w:rsid w:val="00A725AE"/>
    <w:rsid w:val="00AB3387"/>
    <w:rsid w:val="00AC01E8"/>
    <w:rsid w:val="00B03F47"/>
    <w:rsid w:val="00B05C1A"/>
    <w:rsid w:val="00B10464"/>
    <w:rsid w:val="00C2688A"/>
    <w:rsid w:val="00C415E1"/>
    <w:rsid w:val="00C91109"/>
    <w:rsid w:val="00C94759"/>
    <w:rsid w:val="00CA3880"/>
    <w:rsid w:val="00CD5518"/>
    <w:rsid w:val="00D11273"/>
    <w:rsid w:val="00D379F9"/>
    <w:rsid w:val="00D66A8D"/>
    <w:rsid w:val="00D72730"/>
    <w:rsid w:val="00D84005"/>
    <w:rsid w:val="00DA1A4A"/>
    <w:rsid w:val="00E47884"/>
    <w:rsid w:val="00E81D11"/>
    <w:rsid w:val="00EB4DA1"/>
    <w:rsid w:val="00EB6B99"/>
    <w:rsid w:val="00F01A25"/>
    <w:rsid w:val="00F103B4"/>
    <w:rsid w:val="00F51CF5"/>
    <w:rsid w:val="00F54A55"/>
    <w:rsid w:val="00FE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32AC7"/>
  <w15:docId w15:val="{5DE7D0E5-9EC0-4A90-B192-1C521A52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DF5"/>
    <w:pPr>
      <w:ind w:left="720"/>
      <w:contextualSpacing/>
    </w:pPr>
  </w:style>
  <w:style w:type="paragraph" w:styleId="Header">
    <w:name w:val="header"/>
    <w:basedOn w:val="Normal"/>
    <w:link w:val="HeaderChar"/>
    <w:uiPriority w:val="99"/>
    <w:unhideWhenUsed/>
    <w:rsid w:val="00052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4DF"/>
  </w:style>
  <w:style w:type="paragraph" w:styleId="Footer">
    <w:name w:val="footer"/>
    <w:basedOn w:val="Normal"/>
    <w:link w:val="FooterChar"/>
    <w:uiPriority w:val="99"/>
    <w:unhideWhenUsed/>
    <w:rsid w:val="00052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4DF"/>
  </w:style>
  <w:style w:type="paragraph" w:styleId="BalloonText">
    <w:name w:val="Balloon Text"/>
    <w:basedOn w:val="Normal"/>
    <w:link w:val="BalloonTextChar"/>
    <w:uiPriority w:val="99"/>
    <w:semiHidden/>
    <w:unhideWhenUsed/>
    <w:rsid w:val="00052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4DF"/>
    <w:rPr>
      <w:rFonts w:ascii="Tahoma" w:hAnsi="Tahoma" w:cs="Tahoma"/>
      <w:sz w:val="16"/>
      <w:szCs w:val="16"/>
    </w:rPr>
  </w:style>
  <w:style w:type="character" w:styleId="Hyperlink">
    <w:name w:val="Hyperlink"/>
    <w:basedOn w:val="DefaultParagraphFont"/>
    <w:uiPriority w:val="99"/>
    <w:unhideWhenUsed/>
    <w:rsid w:val="008A5669"/>
    <w:rPr>
      <w:color w:val="0000FF" w:themeColor="hyperlink"/>
      <w:u w:val="single"/>
    </w:rPr>
  </w:style>
  <w:style w:type="table" w:styleId="TableGrid">
    <w:name w:val="Table Grid"/>
    <w:basedOn w:val="TableNormal"/>
    <w:uiPriority w:val="59"/>
    <w:rsid w:val="00692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55A3"/>
    <w:rPr>
      <w:sz w:val="16"/>
      <w:szCs w:val="16"/>
    </w:rPr>
  </w:style>
  <w:style w:type="paragraph" w:styleId="CommentText">
    <w:name w:val="annotation text"/>
    <w:basedOn w:val="Normal"/>
    <w:link w:val="CommentTextChar"/>
    <w:uiPriority w:val="99"/>
    <w:semiHidden/>
    <w:unhideWhenUsed/>
    <w:rsid w:val="005C55A3"/>
    <w:pPr>
      <w:spacing w:line="240" w:lineRule="auto"/>
    </w:pPr>
    <w:rPr>
      <w:sz w:val="20"/>
      <w:szCs w:val="20"/>
    </w:rPr>
  </w:style>
  <w:style w:type="character" w:customStyle="1" w:styleId="CommentTextChar">
    <w:name w:val="Comment Text Char"/>
    <w:basedOn w:val="DefaultParagraphFont"/>
    <w:link w:val="CommentText"/>
    <w:uiPriority w:val="99"/>
    <w:semiHidden/>
    <w:rsid w:val="005C55A3"/>
    <w:rPr>
      <w:sz w:val="20"/>
      <w:szCs w:val="20"/>
    </w:rPr>
  </w:style>
  <w:style w:type="paragraph" w:styleId="CommentSubject">
    <w:name w:val="annotation subject"/>
    <w:basedOn w:val="CommentText"/>
    <w:next w:val="CommentText"/>
    <w:link w:val="CommentSubjectChar"/>
    <w:uiPriority w:val="99"/>
    <w:semiHidden/>
    <w:unhideWhenUsed/>
    <w:rsid w:val="005C55A3"/>
    <w:rPr>
      <w:b/>
      <w:bCs/>
    </w:rPr>
  </w:style>
  <w:style w:type="character" w:customStyle="1" w:styleId="CommentSubjectChar">
    <w:name w:val="Comment Subject Char"/>
    <w:basedOn w:val="CommentTextChar"/>
    <w:link w:val="CommentSubject"/>
    <w:uiPriority w:val="99"/>
    <w:semiHidden/>
    <w:rsid w:val="005C55A3"/>
    <w:rPr>
      <w:b/>
      <w:bCs/>
      <w:sz w:val="20"/>
      <w:szCs w:val="20"/>
    </w:rPr>
  </w:style>
  <w:style w:type="paragraph" w:styleId="NormalWeb">
    <w:name w:val="Normal (Web)"/>
    <w:basedOn w:val="Normal"/>
    <w:uiPriority w:val="99"/>
    <w:semiHidden/>
    <w:unhideWhenUsed/>
    <w:rsid w:val="005C55A3"/>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24214">
      <w:bodyDiv w:val="1"/>
      <w:marLeft w:val="0"/>
      <w:marRight w:val="0"/>
      <w:marTop w:val="0"/>
      <w:marBottom w:val="0"/>
      <w:divBdr>
        <w:top w:val="none" w:sz="0" w:space="0" w:color="auto"/>
        <w:left w:val="none" w:sz="0" w:space="0" w:color="auto"/>
        <w:bottom w:val="none" w:sz="0" w:space="0" w:color="auto"/>
        <w:right w:val="none" w:sz="0" w:space="0" w:color="auto"/>
      </w:divBdr>
    </w:div>
    <w:div w:id="280264555">
      <w:bodyDiv w:val="1"/>
      <w:marLeft w:val="0"/>
      <w:marRight w:val="0"/>
      <w:marTop w:val="0"/>
      <w:marBottom w:val="0"/>
      <w:divBdr>
        <w:top w:val="none" w:sz="0" w:space="0" w:color="auto"/>
        <w:left w:val="none" w:sz="0" w:space="0" w:color="auto"/>
        <w:bottom w:val="none" w:sz="0" w:space="0" w:color="auto"/>
        <w:right w:val="none" w:sz="0" w:space="0" w:color="auto"/>
      </w:divBdr>
    </w:div>
    <w:div w:id="968819740">
      <w:bodyDiv w:val="1"/>
      <w:marLeft w:val="0"/>
      <w:marRight w:val="0"/>
      <w:marTop w:val="0"/>
      <w:marBottom w:val="0"/>
      <w:divBdr>
        <w:top w:val="none" w:sz="0" w:space="0" w:color="auto"/>
        <w:left w:val="none" w:sz="0" w:space="0" w:color="auto"/>
        <w:bottom w:val="none" w:sz="0" w:space="0" w:color="auto"/>
        <w:right w:val="none" w:sz="0" w:space="0" w:color="auto"/>
      </w:divBdr>
    </w:div>
    <w:div w:id="1695425557">
      <w:bodyDiv w:val="1"/>
      <w:marLeft w:val="0"/>
      <w:marRight w:val="0"/>
      <w:marTop w:val="0"/>
      <w:marBottom w:val="0"/>
      <w:divBdr>
        <w:top w:val="none" w:sz="0" w:space="0" w:color="auto"/>
        <w:left w:val="none" w:sz="0" w:space="0" w:color="auto"/>
        <w:bottom w:val="none" w:sz="0" w:space="0" w:color="auto"/>
        <w:right w:val="none" w:sz="0" w:space="0" w:color="auto"/>
      </w:divBdr>
    </w:div>
    <w:div w:id="1737819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DCPD-201600802/pdf/DCPD-20160080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po.gov/fdsys/pkg/DCPD-201600802/pdf/DCPD-201600802.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mailto:ExchangeNCE@state.gov" TargetMode="External"/><Relationship Id="rId4" Type="http://schemas.openxmlformats.org/officeDocument/2006/relationships/webSettings" Target="webSettings.xml"/><Relationship Id="rId9" Type="http://schemas.openxmlformats.org/officeDocument/2006/relationships/hyperlink" Target="https://gilmanapplication.iie.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Causer, Sarah</dc:creator>
  <cp:lastModifiedBy>Hurley, Shawna</cp:lastModifiedBy>
  <cp:revision>7</cp:revision>
  <cp:lastPrinted>2016-08-15T20:17:00Z</cp:lastPrinted>
  <dcterms:created xsi:type="dcterms:W3CDTF">2018-04-02T20:53:00Z</dcterms:created>
  <dcterms:modified xsi:type="dcterms:W3CDTF">2018-04-13T18:39:00Z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2014-05-19T00:00:00Z</vt:filetime>
  </property>
  <property fmtid="{D5CDD505-2E9C-101B-9397-08002B2CF9AE}" pid="3" name="LastSaved">
    <vt:filetime>2014-06-10T00:00:00Z</vt:filetime>
  </property>
</Properties>
</file>